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NewRomanPS-BoldMT" w:hAnsi="TimesNewRomanPS-BoldMT" w:cs="TimesNewRomanPS-BoldMT"/>
          <w:b/>
          <w:b/>
          <w:bCs/>
          <w:sz w:val="18"/>
          <w:szCs w:val="18"/>
        </w:rPr>
      </w:pPr>
      <w:r>
        <w:rPr>
          <w:rFonts w:cs="TimesNewRomanPS-BoldMT" w:ascii="TimesNewRomanPS-BoldMT" w:hAnsi="TimesNewRomanPS-BoldMT"/>
          <w:b/>
          <w:bCs/>
          <w:sz w:val="18"/>
          <w:szCs w:val="18"/>
        </w:rPr>
        <w:t>TABELA NR 7</w:t>
      </w:r>
    </w:p>
    <w:p>
      <w:pPr>
        <w:pStyle w:val="Normal"/>
        <w:rPr>
          <w:rFonts w:ascii="TimesNewRomanPS-BoldMT" w:hAnsi="TimesNewRomanPS-BoldMT" w:cs="TimesNewRomanPS-BoldMT"/>
          <w:b/>
          <w:b/>
          <w:bCs/>
          <w:sz w:val="18"/>
          <w:szCs w:val="18"/>
        </w:rPr>
      </w:pPr>
      <w:r>
        <w:rPr>
          <w:rFonts w:cs="TimesNewRomanPS-BoldMT" w:ascii="TimesNewRomanPS-BoldMT" w:hAnsi="TimesNewRomanPS-BoldMT"/>
          <w:b/>
          <w:bCs/>
          <w:sz w:val="18"/>
          <w:szCs w:val="18"/>
        </w:rPr>
        <w:t>Środki trwałe nieamortyzowane lub nieumarzane</w:t>
      </w:r>
    </w:p>
    <w:p>
      <w:pPr>
        <w:pStyle w:val="Normal"/>
        <w:rPr/>
      </w:pPr>
      <w:r>
        <w:rPr/>
      </w:r>
    </w:p>
    <w:tbl>
      <w:tblPr>
        <w:tblStyle w:val="Tabela-Siatka"/>
        <w:tblW w:w="139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20"/>
        <w:gridCol w:w="3006"/>
        <w:gridCol w:w="2807"/>
        <w:gridCol w:w="2025"/>
        <w:gridCol w:w="2216"/>
        <w:gridCol w:w="2719"/>
      </w:tblGrid>
      <w:tr>
        <w:trPr/>
        <w:tc>
          <w:tcPr>
            <w:tcW w:w="1220" w:type="dxa"/>
            <w:vMerge w:val="restart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3006" w:type="dxa"/>
            <w:vMerge w:val="restart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Grupa według KŚT</w:t>
            </w:r>
          </w:p>
        </w:tc>
        <w:tc>
          <w:tcPr>
            <w:tcW w:w="2807" w:type="dxa"/>
            <w:vMerge w:val="restart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Stan na początek roku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eastAsia="Calibri"/>
                <w:kern w:val="0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obrotowego (zł)</w:t>
            </w:r>
          </w:p>
        </w:tc>
        <w:tc>
          <w:tcPr>
            <w:tcW w:w="4241" w:type="dxa"/>
            <w:gridSpan w:val="2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Zmiany w trakcie roku obrotowego</w:t>
            </w:r>
          </w:p>
        </w:tc>
        <w:tc>
          <w:tcPr>
            <w:tcW w:w="2719" w:type="dxa"/>
            <w:vMerge w:val="restart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Stan na koniec roku obrotowego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(3 + 4 – 5)</w:t>
            </w:r>
          </w:p>
        </w:tc>
      </w:tr>
      <w:tr>
        <w:trPr/>
        <w:tc>
          <w:tcPr>
            <w:tcW w:w="1220" w:type="dxa"/>
            <w:vMerge w:val="continue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vMerge w:val="continue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vMerge w:val="continue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zwiększenia</w:t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pl-PL" w:eastAsia="en-US" w:bidi="ar-SA"/>
              </w:rPr>
              <w:t>zmniejszenia</w:t>
            </w:r>
          </w:p>
        </w:tc>
        <w:tc>
          <w:tcPr>
            <w:tcW w:w="2719" w:type="dxa"/>
            <w:vMerge w:val="continue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5</w:t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pl-PL" w:eastAsia="en-US" w:bidi="ar-SA"/>
              </w:rPr>
              <w:t>6</w:t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OPS</w:t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pl-PL" w:eastAsia="en-US" w:bidi="ar-SA"/>
              </w:rPr>
              <w:t>Obce pozostałe środki trwałe</w:t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5 704,17</w:t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5 704,17</w:t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/>
        <w:tc>
          <w:tcPr>
            <w:tcW w:w="1220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300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807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25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71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18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NewRomanPS-BoldMT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 w:customStyle="1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ygnatura">
    <w:name w:val="Signature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5b2d88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LibreOffice/7.2.4.1$Windows_X86_64 LibreOffice_project/27d75539669ac387bb498e35313b970b7fe9c4f9</Application>
  <AppVersion>15.0000</AppVersion>
  <DocSecurity>0</DocSecurity>
  <Pages>1</Pages>
  <Words>49</Words>
  <Characters>231</Characters>
  <CharactersWithSpaces>260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2018-12-16T19:44:00Z</dcterms:created>
  <dc:creator>Katarzyna Jakubowska</dc:creator>
  <dc:description/>
  <dc:language>pl-PL</dc:language>
  <cp:lastModifiedBy/>
  <cp:lastPrinted>2022-04-08T08:36:38Z</cp:lastPrinted>
  <dcterms:modified xsi:type="dcterms:W3CDTF">2022-04-08T08:36:48Z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